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AMERICAN STUDIES PROGRAM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w:t>
      </w:r>
      <w:r w:rsidDel="00000000" w:rsidR="00000000" w:rsidRPr="00000000">
        <w:rPr>
          <w:rFonts w:ascii="Calibri" w:cs="Calibri" w:eastAsia="Calibri" w:hAnsi="Calibri"/>
          <w:b w:val="1"/>
          <w:rtl w:val="0"/>
        </w:rPr>
        <w:t xml:space="preserve">Questionnaire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AMST Advisor: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What brings you to the American Studies Program?  What question or set of questions interest you?  What events, people, places, practices, cultural texts and/or ideas do you hope to learn more about?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One brief paragraph of 100-150 words).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The American Studies program asks that majors draw on the resources and frameworks of two disciplines as they develop their line of inquiry within the program. Which two disciplines will most likely inform your course of study, and why these two?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(One or two sentences).</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Requirements for the major:</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American Studies major is an 11-unit major: you will take four AMST courses, a methods course, and four additional courses drawn from the broader curriculum that enhance your focus in the Program. You will also take two “Intensive” units, (</w:t>
      </w:r>
      <w:r w:rsidDel="00000000" w:rsidR="00000000" w:rsidRPr="00000000">
        <w:rPr>
          <w:i w:val="1"/>
          <w:rtl w:val="0"/>
        </w:rPr>
        <w:t xml:space="preserve">1.0 unit each)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which will involve your Senior Project work.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Requirements: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AMST 100 Introduction to American Studies OR AMST 102 Introduction to </w:t>
      </w:r>
      <w:r w:rsidDel="00000000" w:rsidR="00000000" w:rsidRPr="00000000">
        <w:rPr>
          <w:rtl w:val="0"/>
        </w:rPr>
        <w:t xml:space="preserve">Asian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American Studies </w:t>
      </w:r>
      <w:r w:rsidDel="00000000" w:rsidR="00000000" w:rsidRPr="00000000">
        <w:rPr>
          <w:rtl w:val="0"/>
        </w:rPr>
        <w:t xml:space="preserve">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AMST 105 Introduction to Native American Studies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AMST 250 </w:t>
      </w:r>
      <w:r w:rsidDel="00000000" w:rsidR="00000000" w:rsidRPr="00000000">
        <w:rPr>
          <w:color w:val="222222"/>
          <w:highlight w:val="white"/>
          <w:rtl w:val="0"/>
        </w:rPr>
        <w:t xml:space="preserve">Critical Approaches to American Studies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(ideally, taken in the first two years)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Research Methods course suitable for your project work (Junior year / subject to Director/Advisor approval)</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Two American Studies electives (ideally originating from AMST, cross-listed with AMST, or courses offered by Steering Committee members in other Departments and Programs).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Four courses that combine to create a coherent program of study; these should include two 200-level courses and two 300-level seminars, in two different disciplinary clusters.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Two units of “Intensive” work, consisting of </w:t>
      </w:r>
      <w:r w:rsidDel="00000000" w:rsidR="00000000" w:rsidRPr="00000000">
        <w:rPr>
          <w:i w:val="1"/>
          <w:rtl w:val="0"/>
        </w:rPr>
        <w:t xml:space="preserve">1.0 unit</w:t>
      </w:r>
      <w:r w:rsidDel="00000000" w:rsidR="00000000" w:rsidRPr="00000000">
        <w:rPr>
          <w:rtl w:val="0"/>
        </w:rPr>
        <w:t xml:space="preserve"> Senior Project Lab Intensive (316) (scheduled with the Program Director in the A-term of Senior year) and a </w:t>
      </w:r>
      <w:r w:rsidDel="00000000" w:rsidR="00000000" w:rsidRPr="00000000">
        <w:rPr>
          <w:i w:val="1"/>
          <w:rtl w:val="0"/>
        </w:rPr>
        <w:t xml:space="preserve">1.0 unit</w:t>
      </w:r>
      <w:r w:rsidDel="00000000" w:rsidR="00000000" w:rsidRPr="00000000">
        <w:rPr>
          <w:rtl w:val="0"/>
        </w:rPr>
        <w:t xml:space="preserve"> Senior Thesis Intensive (302) in the B-term.</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Areas of curricular emphasis within the program:</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program seeks to offers core courses via the following inter-related rubrics, which might help you think about how you’ll chart your course of study in the major.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United States in a global context: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role of the United States outside of its national borders, the flow of peoples, ideas, goods and capital both within and beyond the United States; explorations of historic and contemporary diasporas; contexts and cultures of U.S. militarism and anti-militarism.</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Spaces, places, and borders: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explorations of particular places and processes of place-making in the U.S.; focus on borders and borderlands as contested geographical and figurative spaces of cultural, political, and economic exchange.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 cultural formations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investigations of literary, visual, audio, and performance cultures, and their interaction; U.S. popular culture, music and media.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Identity, difference &amp; power: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contest to extend the promises of abstract citizenship to the particular experiences of embodied subjects; shifting politics of U.S. immigration; explorations of the production, representation and experience of race and ethnicity in the U.S., including structural dimensions of race and racism; investigations of the intersections of race with gender, class, sexuality, and other systems of difference.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 Intellectual traditions and their discontents: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explorations of American religious, cultural and political thought; traditions of social and political protests; discourses of sovereignty, liberty, federalism, individualism, rights.</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before="200"/>
      <w:contextualSpacing w:val="1"/>
      <w:outlineLvl w:val="0"/>
    </w:pPr>
    <w:rPr>
      <w:rFonts w:ascii="Trebuchet MS" w:cs="Trebuchet MS" w:eastAsia="Trebuchet MS" w:hAnsi="Trebuchet MS"/>
      <w:sz w:val="32"/>
    </w:rPr>
  </w:style>
  <w:style w:type="paragraph" w:styleId="Heading2">
    <w:name w:val="heading 2"/>
    <w:basedOn w:val="Normal1"/>
    <w:next w:val="Normal1"/>
    <w:pPr>
      <w:keepNext w:val="1"/>
      <w:keepLines w:val="1"/>
      <w:spacing w:before="200"/>
      <w:contextualSpacing w:val="1"/>
      <w:outlineLvl w:val="1"/>
    </w:pPr>
    <w:rPr>
      <w:rFonts w:ascii="Trebuchet MS" w:cs="Trebuchet MS" w:eastAsia="Trebuchet MS" w:hAnsi="Trebuchet MS"/>
      <w:b w:val="1"/>
      <w:sz w:val="26"/>
    </w:rPr>
  </w:style>
  <w:style w:type="paragraph" w:styleId="Heading3">
    <w:name w:val="heading 3"/>
    <w:basedOn w:val="Normal1"/>
    <w:next w:val="Normal1"/>
    <w:pPr>
      <w:keepNext w:val="1"/>
      <w:keepLines w:val="1"/>
      <w:spacing w:before="160"/>
      <w:contextualSpacing w:val="1"/>
      <w:outlineLvl w:val="2"/>
    </w:pPr>
    <w:rPr>
      <w:rFonts w:ascii="Trebuchet MS" w:cs="Trebuchet MS" w:eastAsia="Trebuchet MS" w:hAnsi="Trebuchet MS"/>
      <w:b w:val="1"/>
      <w:color w:val="666666"/>
      <w:sz w:val="24"/>
    </w:rPr>
  </w:style>
  <w:style w:type="paragraph" w:styleId="Heading4">
    <w:name w:val="heading 4"/>
    <w:basedOn w:val="Normal1"/>
    <w:next w:val="Normal1"/>
    <w:pPr>
      <w:keepNext w:val="1"/>
      <w:keepLines w:val="1"/>
      <w:spacing w:before="160"/>
      <w:contextualSpacing w:val="1"/>
      <w:outlineLvl w:val="3"/>
    </w:pPr>
    <w:rPr>
      <w:rFonts w:ascii="Trebuchet MS" w:cs="Trebuchet MS" w:eastAsia="Trebuchet MS" w:hAnsi="Trebuchet MS"/>
      <w:color w:val="666666"/>
      <w:u w:val="single"/>
    </w:rPr>
  </w:style>
  <w:style w:type="paragraph" w:styleId="Heading5">
    <w:name w:val="heading 5"/>
    <w:basedOn w:val="Normal1"/>
    <w:next w:val="Normal1"/>
    <w:pPr>
      <w:keepNext w:val="1"/>
      <w:keepLines w:val="1"/>
      <w:spacing w:before="160"/>
      <w:contextualSpacing w:val="1"/>
      <w:outlineLvl w:val="4"/>
    </w:pPr>
    <w:rPr>
      <w:rFonts w:ascii="Trebuchet MS" w:cs="Trebuchet MS" w:eastAsia="Trebuchet MS" w:hAnsi="Trebuchet MS"/>
      <w:color w:val="666666"/>
    </w:rPr>
  </w:style>
  <w:style w:type="paragraph" w:styleId="Heading6">
    <w:name w:val="heading 6"/>
    <w:basedOn w:val="Normal1"/>
    <w:next w:val="Normal1"/>
    <w:pPr>
      <w:keepNext w:val="1"/>
      <w:keepLines w:val="1"/>
      <w:spacing w:before="160"/>
      <w:contextualSpacing w:val="1"/>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contextualSpacing w:val="1"/>
    </w:pPr>
    <w:rPr>
      <w:rFonts w:ascii="Trebuchet MS" w:cs="Trebuchet MS" w:eastAsia="Trebuchet MS" w:hAnsi="Trebuchet MS"/>
      <w:sz w:val="42"/>
    </w:rPr>
  </w:style>
  <w:style w:type="paragraph" w:styleId="Subtitle">
    <w:name w:val="Subtitle"/>
    <w:basedOn w:val="Normal1"/>
    <w:next w:val="Normal1"/>
    <w:pPr>
      <w:keepNext w:val="1"/>
      <w:keepLines w:val="1"/>
      <w:spacing w:after="200"/>
      <w:contextualSpacing w:val="1"/>
    </w:pPr>
    <w:rPr>
      <w:rFonts w:ascii="Trebuchet MS" w:cs="Trebuchet MS" w:eastAsia="Trebuchet MS" w:hAnsi="Trebuchet MS"/>
      <w:i w:val="1"/>
      <w:color w:val="666666"/>
      <w:sz w:val="26"/>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C15EC3"/>
    <w:pPr>
      <w:tabs>
        <w:tab w:val="center" w:pos="4680"/>
        <w:tab w:val="right" w:pos="9360"/>
      </w:tabs>
      <w:spacing w:line="240" w:lineRule="auto"/>
    </w:pPr>
  </w:style>
  <w:style w:type="character" w:styleId="HeaderChar" w:customStyle="1">
    <w:name w:val="Header Char"/>
    <w:basedOn w:val="DefaultParagraphFont"/>
    <w:link w:val="Header"/>
    <w:uiPriority w:val="99"/>
    <w:rsid w:val="00C15EC3"/>
  </w:style>
  <w:style w:type="paragraph" w:styleId="Footer">
    <w:name w:val="footer"/>
    <w:basedOn w:val="Normal"/>
    <w:link w:val="FooterChar"/>
    <w:uiPriority w:val="99"/>
    <w:unhideWhenUsed w:val="1"/>
    <w:rsid w:val="00C15EC3"/>
    <w:pPr>
      <w:tabs>
        <w:tab w:val="center" w:pos="4680"/>
        <w:tab w:val="right" w:pos="9360"/>
      </w:tabs>
      <w:spacing w:line="240" w:lineRule="auto"/>
    </w:pPr>
  </w:style>
  <w:style w:type="character" w:styleId="FooterChar" w:customStyle="1">
    <w:name w:val="Footer Char"/>
    <w:basedOn w:val="DefaultParagraphFont"/>
    <w:link w:val="Footer"/>
    <w:uiPriority w:val="99"/>
    <w:rsid w:val="00C15EC3"/>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8pU+2zWJN8KnrTeihoiaOKp6Ow==">AMUW2mVEYtGOyRpPFQo3SW1e6niU20T6dzjQza9CBsKnmMtk4VRS6CexjK6Dd+CwqU34gVp+hFhJScoSqkxgdr7L9RnO4iphYm19KLixuFMZWLNhby2YpzM=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2019-08-30T16:53:00Z</dcterms:created>
</cp:coreProperties>
</file>